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8386"/>
      </w:tblGrid>
      <w:tr w:rsidR="009E1E25" w:rsidRPr="009F22BD" w:rsidTr="002F3278">
        <w:tc>
          <w:tcPr>
            <w:tcW w:w="754" w:type="dxa"/>
          </w:tcPr>
          <w:p w:rsidR="009E1E25" w:rsidRPr="009F22BD" w:rsidRDefault="009E1E25" w:rsidP="00E30F59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425"/>
              </w:tabs>
              <w:rPr>
                <w:rFonts w:cs="Arial"/>
              </w:rPr>
            </w:pPr>
            <w:bookmarkStart w:id="0" w:name="_GoBack"/>
          </w:p>
        </w:tc>
        <w:tc>
          <w:tcPr>
            <w:tcW w:w="8386" w:type="dxa"/>
          </w:tcPr>
          <w:p w:rsidR="009E1E25" w:rsidRPr="009F22BD" w:rsidRDefault="009E1E25" w:rsidP="00E30F59">
            <w:pPr>
              <w:rPr>
                <w:rFonts w:cs="Arial"/>
              </w:rPr>
            </w:pPr>
          </w:p>
          <w:p w:rsidR="009E1E25" w:rsidRPr="009F22BD" w:rsidRDefault="009E1E25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E1E25" w:rsidRPr="009F22BD" w:rsidRDefault="009E1E25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380ABC" w:rsidRPr="009F22BD" w:rsidRDefault="00380ABC" w:rsidP="00E30F59">
            <w:pPr>
              <w:pStyle w:val="Blocktext1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  <w:b/>
                <w:bCs/>
              </w:rPr>
              <w:t>GEZE</w:t>
            </w:r>
            <w:r w:rsidRPr="009F22BD">
              <w:rPr>
                <w:rFonts w:ascii="Arial" w:hAnsi="Arial" w:cs="Arial"/>
              </w:rPr>
              <w:t xml:space="preserve"> </w:t>
            </w:r>
            <w:r w:rsidRPr="009F22BD">
              <w:rPr>
                <w:rFonts w:ascii="Arial" w:hAnsi="Arial" w:cs="Arial"/>
                <w:b/>
              </w:rPr>
              <w:t xml:space="preserve">Öffnungs- </w:t>
            </w:r>
            <w:r w:rsidR="00DD4DE5">
              <w:rPr>
                <w:rFonts w:ascii="Arial" w:hAnsi="Arial" w:cs="Arial"/>
                <w:b/>
              </w:rPr>
              <w:t>und Verriegelungssystem RWA 105 NT</w:t>
            </w:r>
            <w:r w:rsidRPr="009F22BD">
              <w:rPr>
                <w:rFonts w:ascii="Arial" w:hAnsi="Arial" w:cs="Arial"/>
                <w:b/>
              </w:rPr>
              <w:t xml:space="preserve"> für eine Rauch- und Wärmeabzugsanlage</w:t>
            </w:r>
            <w:r w:rsidRPr="009F22BD">
              <w:rPr>
                <w:rFonts w:ascii="Arial" w:hAnsi="Arial" w:cs="Arial"/>
              </w:rPr>
              <w:t xml:space="preserve"> </w:t>
            </w:r>
          </w:p>
          <w:p w:rsidR="00380ABC" w:rsidRPr="009F22BD" w:rsidRDefault="00380ABC" w:rsidP="00E30F59">
            <w:pPr>
              <w:pStyle w:val="Blocksatz"/>
              <w:ind w:left="0" w:right="1320"/>
              <w:rPr>
                <w:rFonts w:ascii="Arial" w:hAnsi="Arial" w:cs="Arial"/>
                <w:b/>
                <w:bCs/>
              </w:rPr>
            </w:pPr>
          </w:p>
          <w:p w:rsidR="00380ABC" w:rsidRPr="009F22BD" w:rsidRDefault="00380ABC" w:rsidP="00E30F59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 w:rsidRPr="009F22BD">
              <w:rPr>
                <w:rFonts w:cs="Arial"/>
              </w:rPr>
              <w:t xml:space="preserve">Für die tägliche </w:t>
            </w:r>
            <w:proofErr w:type="spellStart"/>
            <w:r w:rsidRPr="009F22BD">
              <w:rPr>
                <w:rFonts w:cs="Arial"/>
              </w:rPr>
              <w:t>Be</w:t>
            </w:r>
            <w:proofErr w:type="spellEnd"/>
            <w:r w:rsidRPr="009F22BD">
              <w:rPr>
                <w:rFonts w:cs="Arial"/>
              </w:rPr>
              <w:t>- und Entlüftung sowie sicheren und schnellen Rauch- und Wärmeabzug und Rauchableitung an vertikal eingebauten, einwärts öff</w:t>
            </w:r>
            <w:r w:rsidR="00EC5C6C">
              <w:rPr>
                <w:rFonts w:cs="Arial"/>
              </w:rPr>
              <w:t xml:space="preserve">nenden Kipp-, oder  Drehflügeln. Flügelmontage </w:t>
            </w:r>
            <w:r w:rsidRPr="009F22BD">
              <w:rPr>
                <w:rFonts w:cs="Arial"/>
              </w:rPr>
              <w:t>in Pfosten-/Riegelkonstruktionen</w:t>
            </w:r>
            <w:r w:rsidR="00EC5C6C">
              <w:rPr>
                <w:rFonts w:cs="Arial"/>
              </w:rPr>
              <w:t xml:space="preserve"> oder bei geringer </w:t>
            </w:r>
            <w:proofErr w:type="spellStart"/>
            <w:r w:rsidR="00EC5C6C">
              <w:rPr>
                <w:rFonts w:cs="Arial"/>
              </w:rPr>
              <w:t>Rahenbreite</w:t>
            </w:r>
            <w:proofErr w:type="spellEnd"/>
            <w:r w:rsidRPr="009F22BD">
              <w:rPr>
                <w:rFonts w:cs="Arial"/>
              </w:rPr>
              <w:t>.</w:t>
            </w:r>
          </w:p>
          <w:p w:rsidR="00380ABC" w:rsidRPr="009F22BD" w:rsidRDefault="00380ABC" w:rsidP="00E30F59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 w:rsidRPr="009F22BD">
              <w:rPr>
                <w:rFonts w:cs="Arial"/>
              </w:rPr>
              <w:t xml:space="preserve"> </w:t>
            </w:r>
          </w:p>
          <w:p w:rsidR="00380ABC" w:rsidRPr="009F22BD" w:rsidRDefault="00380ABC" w:rsidP="00E30F59">
            <w:pPr>
              <w:ind w:right="1560"/>
              <w:rPr>
                <w:rFonts w:cs="Arial"/>
              </w:rPr>
            </w:pPr>
            <w:r w:rsidRPr="009F22BD">
              <w:rPr>
                <w:rFonts w:cs="Arial"/>
              </w:rPr>
              <w:t>Elektrospindelantrieb E</w:t>
            </w:r>
            <w:r w:rsidR="00CF6B85" w:rsidRPr="009F22BD">
              <w:rPr>
                <w:rFonts w:cs="Arial"/>
              </w:rPr>
              <w:t xml:space="preserve"> </w:t>
            </w:r>
            <w:r w:rsidRPr="009F22BD">
              <w:rPr>
                <w:rFonts w:cs="Arial"/>
              </w:rPr>
              <w:t xml:space="preserve">250 </w:t>
            </w:r>
            <w:r w:rsidR="00363D54">
              <w:rPr>
                <w:rFonts w:cs="Arial"/>
              </w:rPr>
              <w:t xml:space="preserve">NT </w:t>
            </w:r>
            <w:r w:rsidRPr="009F22BD">
              <w:rPr>
                <w:rFonts w:cs="Arial"/>
              </w:rPr>
              <w:t xml:space="preserve">in 24 V Ausführung mit 2 mechanischen Flügelverriegelungen. </w:t>
            </w:r>
          </w:p>
          <w:p w:rsidR="00380ABC" w:rsidRDefault="00380ABC" w:rsidP="00E30F59">
            <w:pPr>
              <w:pStyle w:val="Blocksatz"/>
              <w:numPr>
                <w:ilvl w:val="12"/>
                <w:numId w:val="0"/>
              </w:numPr>
              <w:tabs>
                <w:tab w:val="left" w:pos="72"/>
              </w:tabs>
              <w:rPr>
                <w:rFonts w:ascii="Arial" w:hAnsi="Arial" w:cs="Arial"/>
              </w:rPr>
            </w:pPr>
          </w:p>
          <w:p w:rsidR="00265A4B" w:rsidRDefault="00265A4B" w:rsidP="00E30F59">
            <w:pPr>
              <w:ind w:right="1560"/>
              <w:rPr>
                <w:rFonts w:cs="Arial"/>
              </w:rPr>
            </w:pPr>
            <w:r w:rsidRPr="003C34C0">
              <w:rPr>
                <w:rFonts w:cs="Arial"/>
              </w:rPr>
              <w:t>Die Lasta</w:t>
            </w:r>
            <w:r>
              <w:rPr>
                <w:rFonts w:cs="Arial"/>
              </w:rPr>
              <w:t>bschaltung und die Endlagenabschaltung haben elektronisch zu erfolgen.</w:t>
            </w:r>
          </w:p>
          <w:p w:rsidR="00265A4B" w:rsidRDefault="00265A4B" w:rsidP="00E30F59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>
              <w:rPr>
                <w:rFonts w:cs="Arial"/>
              </w:rPr>
              <w:t>Dichtschluss über elektronisch definierten Anpressdruck.</w:t>
            </w:r>
          </w:p>
          <w:p w:rsidR="00265A4B" w:rsidRDefault="00265A4B" w:rsidP="00E30F59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>
              <w:rPr>
                <w:rFonts w:cs="Arial"/>
              </w:rPr>
              <w:t>Für große Fenster is</w:t>
            </w:r>
            <w:r w:rsidR="00362B1E">
              <w:rPr>
                <w:rFonts w:cs="Arial"/>
              </w:rPr>
              <w:t>t synchronisierter Tandem-Betrieb</w:t>
            </w:r>
            <w:r>
              <w:rPr>
                <w:rFonts w:cs="Arial"/>
              </w:rPr>
              <w:t xml:space="preserve"> ohne externes Zusatzmodul sicherzustellen. Aktivierung und Einstellung der Synchronfunktion erfolgt über integrierte DIP-Schalter ohne zusätzliche Programmierung.</w:t>
            </w:r>
          </w:p>
          <w:p w:rsidR="00265A4B" w:rsidRDefault="00265A4B" w:rsidP="00E30F59">
            <w:pPr>
              <w:ind w:right="1560"/>
              <w:rPr>
                <w:rFonts w:cs="Arial"/>
              </w:rPr>
            </w:pPr>
            <w:r>
              <w:rPr>
                <w:rFonts w:cs="Arial"/>
              </w:rPr>
              <w:t xml:space="preserve">Die Ansteuerung hat im RWA Fall über die GEZE Notstromsteuerzentrale zu erfolgen. </w:t>
            </w:r>
          </w:p>
          <w:p w:rsidR="00265A4B" w:rsidRDefault="00265A4B" w:rsidP="00E30F59">
            <w:pPr>
              <w:numPr>
                <w:ilvl w:val="12"/>
                <w:numId w:val="0"/>
              </w:numPr>
              <w:ind w:right="2280"/>
              <w:rPr>
                <w:rFonts w:cs="Arial"/>
              </w:rPr>
            </w:pPr>
            <w:r>
              <w:rPr>
                <w:rFonts w:cs="Arial"/>
              </w:rPr>
              <w:t xml:space="preserve">Tägliche Nutzung der Lüftungsfunktion erfolgt über GEZE </w:t>
            </w:r>
            <w:proofErr w:type="spellStart"/>
            <w:r>
              <w:rPr>
                <w:rFonts w:cs="Arial"/>
              </w:rPr>
              <w:t>Lüftertaster</w:t>
            </w:r>
            <w:proofErr w:type="spellEnd"/>
            <w:r>
              <w:rPr>
                <w:rFonts w:cs="Arial"/>
              </w:rPr>
              <w:t>.</w:t>
            </w:r>
          </w:p>
          <w:p w:rsidR="00380ABC" w:rsidRPr="009F22BD" w:rsidRDefault="00380ABC" w:rsidP="00E30F59">
            <w:pPr>
              <w:pStyle w:val="Blocksatz"/>
              <w:numPr>
                <w:ilvl w:val="12"/>
                <w:numId w:val="0"/>
              </w:numPr>
              <w:tabs>
                <w:tab w:val="left" w:pos="72"/>
              </w:tabs>
              <w:rPr>
                <w:rFonts w:ascii="Arial" w:hAnsi="Arial" w:cs="Arial"/>
              </w:rPr>
            </w:pPr>
          </w:p>
          <w:p w:rsidR="00380ABC" w:rsidRPr="009F22BD" w:rsidRDefault="00380ABC" w:rsidP="00E30F59">
            <w:pPr>
              <w:pStyle w:val="Blocktext1"/>
              <w:ind w:left="0"/>
              <w:rPr>
                <w:rFonts w:ascii="Arial" w:hAnsi="Arial" w:cs="Arial"/>
                <w:b/>
              </w:rPr>
            </w:pPr>
            <w:r w:rsidRPr="009F22BD">
              <w:rPr>
                <w:rFonts w:ascii="Arial" w:hAnsi="Arial" w:cs="Arial"/>
                <w:b/>
              </w:rPr>
              <w:t>Technische Daten:</w:t>
            </w:r>
          </w:p>
          <w:p w:rsidR="00380ABC" w:rsidRPr="009F22BD" w:rsidRDefault="00380ABC" w:rsidP="00E30F59">
            <w:pPr>
              <w:ind w:right="1560"/>
              <w:rPr>
                <w:rFonts w:cs="Arial"/>
              </w:rPr>
            </w:pPr>
            <w:r w:rsidRPr="009F22BD">
              <w:rPr>
                <w:rFonts w:cs="Arial"/>
              </w:rPr>
              <w:t>Hub: 100/150/230</w:t>
            </w:r>
          </w:p>
          <w:p w:rsidR="00362B1E" w:rsidRDefault="00362B1E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 w:rsidRPr="003C34C0">
              <w:rPr>
                <w:rFonts w:ascii="Arial" w:hAnsi="Arial" w:cs="Arial"/>
              </w:rPr>
              <w:t>Zug- und Schubkraft: 750 N/750 N</w:t>
            </w:r>
          </w:p>
          <w:p w:rsidR="00362B1E" w:rsidRPr="003C34C0" w:rsidRDefault="00362B1E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Spannung: 24 V DC / 230 V AC mit externem Netzteil</w:t>
            </w:r>
          </w:p>
          <w:p w:rsidR="00362B1E" w:rsidRPr="003C34C0" w:rsidRDefault="00362B1E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Stromaufnahme: Lüftung (24 V): 0,9 A; RWA (18 V): 1,0 A</w:t>
            </w:r>
          </w:p>
          <w:p w:rsidR="00362B1E" w:rsidRPr="003C34C0" w:rsidRDefault="00362B1E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 w:rsidRPr="003C34C0">
              <w:rPr>
                <w:rFonts w:ascii="Arial" w:hAnsi="Arial" w:cs="Arial"/>
              </w:rPr>
              <w:t>Schutzart: IP 65</w:t>
            </w:r>
          </w:p>
          <w:p w:rsidR="00362B1E" w:rsidRDefault="00362B1E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Umgebungstemperatur: -5 </w:t>
            </w:r>
            <w:r w:rsidRPr="003C34C0">
              <w:rPr>
                <w:rFonts w:ascii="Arial" w:hAnsi="Arial" w:cs="Arial"/>
              </w:rPr>
              <w:t>°C bis +70</w:t>
            </w:r>
            <w:r>
              <w:rPr>
                <w:rFonts w:ascii="Arial" w:hAnsi="Arial" w:cs="Arial"/>
              </w:rPr>
              <w:t xml:space="preserve"> </w:t>
            </w:r>
            <w:r w:rsidRPr="003C34C0">
              <w:rPr>
                <w:rFonts w:ascii="Arial" w:hAnsi="Arial" w:cs="Arial"/>
              </w:rPr>
              <w:t>°C</w:t>
            </w:r>
          </w:p>
          <w:p w:rsidR="00B27604" w:rsidRDefault="00B27604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Anschlusskabel: 2 m, Silikon ummantelt*</w:t>
            </w:r>
          </w:p>
          <w:p w:rsidR="00B27604" w:rsidRPr="003C34C0" w:rsidRDefault="00B27604" w:rsidP="00E30F59">
            <w:pPr>
              <w:pStyle w:val="Blocksatz"/>
              <w:numPr>
                <w:ilvl w:val="12"/>
                <w:numId w:val="0"/>
              </w:numPr>
              <w:ind w:right="1680"/>
              <w:rPr>
                <w:rFonts w:ascii="Arial" w:hAnsi="Arial" w:cs="Arial"/>
              </w:rPr>
            </w:pPr>
            <w:r w:rsidRPr="003C34C0">
              <w:rPr>
                <w:rFonts w:ascii="Arial" w:hAnsi="Arial" w:cs="Arial"/>
              </w:rPr>
              <w:t xml:space="preserve">* </w:t>
            </w:r>
            <w:r w:rsidRPr="003C34C0">
              <w:rPr>
                <w:rFonts w:ascii="Arial" w:hAnsi="Arial" w:cs="Arial"/>
                <w:sz w:val="16"/>
              </w:rPr>
              <w:t>Sonderlängen auf Anfrage</w:t>
            </w:r>
          </w:p>
          <w:p w:rsidR="00380ABC" w:rsidRPr="009F22BD" w:rsidRDefault="00380ABC" w:rsidP="00E30F59">
            <w:pPr>
              <w:pStyle w:val="Blocktext1"/>
              <w:ind w:left="0" w:right="1320"/>
              <w:rPr>
                <w:rFonts w:ascii="Arial" w:hAnsi="Arial" w:cs="Arial"/>
              </w:rPr>
            </w:pPr>
          </w:p>
          <w:p w:rsidR="00380ABC" w:rsidRPr="009F22BD" w:rsidRDefault="00380ABC" w:rsidP="00E30F59">
            <w:pPr>
              <w:ind w:right="1680"/>
              <w:rPr>
                <w:rFonts w:cs="Arial"/>
              </w:rPr>
            </w:pPr>
            <w:r w:rsidRPr="009F22BD">
              <w:rPr>
                <w:rFonts w:cs="Arial"/>
              </w:rPr>
              <w:t xml:space="preserve">Geeignet für den Einbau in geprüfte und zertifizierte </w:t>
            </w:r>
            <w:r w:rsidRPr="009F22BD">
              <w:rPr>
                <w:rFonts w:cs="Arial"/>
                <w:b/>
                <w:bCs/>
              </w:rPr>
              <w:t>GEZE</w:t>
            </w:r>
            <w:r w:rsidRPr="009F22BD">
              <w:rPr>
                <w:rFonts w:cs="Arial"/>
              </w:rPr>
              <w:t xml:space="preserve"> </w:t>
            </w:r>
            <w:r w:rsidRPr="009F22BD">
              <w:rPr>
                <w:rFonts w:cs="Arial"/>
                <w:b/>
              </w:rPr>
              <w:t xml:space="preserve">NRWGs </w:t>
            </w:r>
            <w:r w:rsidRPr="009F22BD">
              <w:rPr>
                <w:rFonts w:cs="Arial"/>
              </w:rPr>
              <w:t>nach EN 12101-2.</w:t>
            </w:r>
          </w:p>
          <w:p w:rsidR="009E1E25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FF5797" w:rsidRDefault="00FF5797" w:rsidP="00E30F59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Flügelbreite bei Holz oder Alu max.: Solo 1500 mm   </w:t>
            </w:r>
            <w:proofErr w:type="spellStart"/>
            <w:r>
              <w:rPr>
                <w:rFonts w:ascii="Arial" w:hAnsi="Arial"/>
              </w:rPr>
              <w:t>Syncro</w:t>
            </w:r>
            <w:proofErr w:type="spellEnd"/>
            <w:r>
              <w:rPr>
                <w:rFonts w:ascii="Arial" w:hAnsi="Arial"/>
              </w:rPr>
              <w:t xml:space="preserve"> 2200 mm</w:t>
            </w:r>
          </w:p>
          <w:p w:rsidR="00FF5797" w:rsidRDefault="00FF5797" w:rsidP="00E30F59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Flügelbreite bei Kunststoff max.:      Solo 800 mm      </w:t>
            </w:r>
            <w:proofErr w:type="spellStart"/>
            <w:r>
              <w:rPr>
                <w:rFonts w:ascii="Arial" w:hAnsi="Arial"/>
              </w:rPr>
              <w:t>Syncro</w:t>
            </w:r>
            <w:proofErr w:type="spellEnd"/>
            <w:r>
              <w:rPr>
                <w:rFonts w:ascii="Arial" w:hAnsi="Arial"/>
              </w:rPr>
              <w:t xml:space="preserve"> 1600 mm</w:t>
            </w:r>
          </w:p>
          <w:p w:rsidR="00FF5797" w:rsidRDefault="00FF5797" w:rsidP="00E30F59">
            <w:pPr>
              <w:pStyle w:val="Blocktext1"/>
              <w:ind w:left="0" w:right="1320"/>
              <w:rPr>
                <w:rFonts w:ascii="Arial" w:hAnsi="Arial"/>
              </w:rPr>
            </w:pPr>
            <w:r>
              <w:rPr>
                <w:rFonts w:ascii="Arial" w:hAnsi="Arial"/>
              </w:rPr>
              <w:t>Flügelbreite min.:                                      200 mm</w:t>
            </w:r>
          </w:p>
          <w:p w:rsidR="00FF5797" w:rsidRDefault="00FF5797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FF5797" w:rsidRPr="009F22BD" w:rsidRDefault="00FF5797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  <w:b/>
                <w:bCs/>
              </w:rPr>
              <w:t xml:space="preserve">Flügelgröße: </w:t>
            </w:r>
            <w:r w:rsidRPr="009F22BD">
              <w:rPr>
                <w:rFonts w:ascii="Arial" w:hAnsi="Arial" w:cs="Arial"/>
              </w:rPr>
              <w:t>........ mm Breite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                       ........ mm Höhe</w:t>
            </w:r>
          </w:p>
          <w:p w:rsidR="009E1E25" w:rsidRPr="009F22BD" w:rsidRDefault="009E1E25" w:rsidP="00E30F59">
            <w:pPr>
              <w:pStyle w:val="Blocksatz"/>
              <w:tabs>
                <w:tab w:val="left" w:pos="1206"/>
              </w:tabs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Mind. und max. Flügelbreite und Flügelhöhe nach Herstellerangaben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tabs>
                <w:tab w:val="left" w:pos="1206"/>
              </w:tabs>
              <w:ind w:left="0" w:right="1320"/>
              <w:rPr>
                <w:rFonts w:ascii="Arial" w:hAnsi="Arial" w:cs="Arial"/>
                <w:b/>
                <w:bCs/>
              </w:rPr>
            </w:pPr>
            <w:r w:rsidRPr="009F22BD">
              <w:rPr>
                <w:rFonts w:ascii="Arial" w:hAnsi="Arial" w:cs="Arial"/>
                <w:b/>
                <w:bCs/>
              </w:rPr>
              <w:t>Motorhub: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(  ) E</w:t>
            </w:r>
            <w:r w:rsidR="00CF6B85" w:rsidRPr="009F22BD">
              <w:rPr>
                <w:rFonts w:ascii="Arial" w:hAnsi="Arial" w:cs="Arial"/>
              </w:rPr>
              <w:t xml:space="preserve"> </w:t>
            </w:r>
            <w:r w:rsidRPr="009F22BD">
              <w:rPr>
                <w:rFonts w:ascii="Arial" w:hAnsi="Arial" w:cs="Arial"/>
              </w:rPr>
              <w:t>250</w:t>
            </w:r>
            <w:r w:rsidR="00FF5797">
              <w:rPr>
                <w:rFonts w:ascii="Arial" w:hAnsi="Arial" w:cs="Arial"/>
              </w:rPr>
              <w:t xml:space="preserve"> NT/100 Flügelhöhe: min. 58</w:t>
            </w:r>
            <w:r w:rsidRPr="009F22BD">
              <w:rPr>
                <w:rFonts w:ascii="Arial" w:hAnsi="Arial" w:cs="Arial"/>
              </w:rPr>
              <w:t xml:space="preserve">5 mm 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                                         max. in Abhängigkeit der Flügelbreite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                     Öffnungsweite: ca. 220 – 1150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(  ) E</w:t>
            </w:r>
            <w:r w:rsidR="00CF6B85" w:rsidRPr="009F22BD">
              <w:rPr>
                <w:rFonts w:ascii="Arial" w:hAnsi="Arial" w:cs="Arial"/>
              </w:rPr>
              <w:t xml:space="preserve"> </w:t>
            </w:r>
            <w:r w:rsidR="00FF5797">
              <w:rPr>
                <w:rFonts w:ascii="Arial" w:hAnsi="Arial" w:cs="Arial"/>
              </w:rPr>
              <w:t>250 NT/150 Flügelhöhe: min 68</w:t>
            </w:r>
            <w:r w:rsidRPr="009F22BD">
              <w:rPr>
                <w:rFonts w:ascii="Arial" w:hAnsi="Arial" w:cs="Arial"/>
              </w:rPr>
              <w:t>5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                                         max. in Abhängigkeit der Flügelbreite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                     Öffnungsweite: ca. 450 – 1700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(  ) E</w:t>
            </w:r>
            <w:r w:rsidR="00CF6B85" w:rsidRPr="009F22BD">
              <w:rPr>
                <w:rFonts w:ascii="Arial" w:hAnsi="Arial" w:cs="Arial"/>
              </w:rPr>
              <w:t xml:space="preserve"> </w:t>
            </w:r>
            <w:r w:rsidRPr="009F22BD">
              <w:rPr>
                <w:rFonts w:ascii="Arial" w:hAnsi="Arial" w:cs="Arial"/>
              </w:rPr>
              <w:t>250</w:t>
            </w:r>
            <w:r w:rsidR="00FF5797">
              <w:rPr>
                <w:rFonts w:ascii="Arial" w:hAnsi="Arial" w:cs="Arial"/>
              </w:rPr>
              <w:t xml:space="preserve"> NT/230 Flügelhöhe: min.845</w:t>
            </w:r>
            <w:r w:rsidRPr="009F22BD">
              <w:rPr>
                <w:rFonts w:ascii="Arial" w:hAnsi="Arial" w:cs="Arial"/>
              </w:rPr>
              <w:t xml:space="preserve">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                                         max. in Abhängigkeit der Flügelbreite</w:t>
            </w:r>
            <w:r w:rsidRPr="009F22BD">
              <w:rPr>
                <w:rFonts w:ascii="Arial" w:hAnsi="Arial" w:cs="Arial"/>
              </w:rPr>
              <w:br/>
              <w:t xml:space="preserve">                     Öffnungsweite: ca. 800 – 2300 mm, </w:t>
            </w:r>
            <w:r w:rsidR="00362B1E">
              <w:rPr>
                <w:rFonts w:ascii="Arial" w:hAnsi="Arial" w:cs="Arial"/>
              </w:rPr>
              <w:t xml:space="preserve">Solo </w:t>
            </w:r>
            <w:r w:rsidRPr="009F22BD">
              <w:rPr>
                <w:rFonts w:ascii="Arial" w:hAnsi="Arial" w:cs="Arial"/>
              </w:rPr>
              <w:t>nur bei Drehflügeln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  <w:b/>
              </w:rPr>
            </w:pPr>
            <w:r w:rsidRPr="009F22BD">
              <w:rPr>
                <w:rFonts w:ascii="Arial" w:hAnsi="Arial" w:cs="Arial"/>
                <w:b/>
              </w:rPr>
              <w:t>Angaben ausgehend von Kipp- und Klappflügeln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Öffnungsweite ........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(wird von der Flügelgröße und dem Hub des Antriebes bestimmt)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Füllgewicht max.: 30 kg/m²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Platzbedarf: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auf Flügel:                          38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auf Blendrahmen:              18 mm</w:t>
            </w:r>
          </w:p>
          <w:p w:rsidR="009E1E25" w:rsidRPr="009F22BD" w:rsidRDefault="009E1E25" w:rsidP="00E30F59">
            <w:pPr>
              <w:pStyle w:val="Blocksatz"/>
              <w:tabs>
                <w:tab w:val="left" w:pos="2482"/>
              </w:tabs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Pfosten-/Riegeltiefe: max.125 mm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  <w:b/>
                <w:bCs/>
              </w:rPr>
            </w:pPr>
            <w:r w:rsidRPr="009F22BD">
              <w:rPr>
                <w:rFonts w:ascii="Arial" w:hAnsi="Arial" w:cs="Arial"/>
                <w:b/>
                <w:bCs/>
              </w:rPr>
              <w:t>Farbton: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 xml:space="preserve">(  ) </w:t>
            </w:r>
            <w:r w:rsidR="00FB46E5">
              <w:rPr>
                <w:rFonts w:ascii="Arial" w:hAnsi="Arial" w:cs="Arial"/>
              </w:rPr>
              <w:t>EV1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(  ) weiß</w:t>
            </w:r>
          </w:p>
          <w:p w:rsidR="009E1E25" w:rsidRPr="009F22BD" w:rsidRDefault="009E1E25" w:rsidP="00E30F59">
            <w:pPr>
              <w:pStyle w:val="Blocksatz"/>
              <w:ind w:left="0" w:right="1320"/>
              <w:rPr>
                <w:rFonts w:ascii="Arial" w:hAnsi="Arial" w:cs="Arial"/>
              </w:rPr>
            </w:pPr>
            <w:r w:rsidRPr="009F22BD">
              <w:rPr>
                <w:rFonts w:ascii="Arial" w:hAnsi="Arial" w:cs="Arial"/>
              </w:rPr>
              <w:t>(  ) RAL ........</w:t>
            </w:r>
          </w:p>
          <w:p w:rsidR="009E1E25" w:rsidRPr="009F22BD" w:rsidRDefault="009E1E25" w:rsidP="00E30F59">
            <w:pPr>
              <w:pStyle w:val="Blocksatz"/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B27604" w:rsidRPr="009F22BD" w:rsidTr="002F3278">
        <w:tc>
          <w:tcPr>
            <w:tcW w:w="754" w:type="dxa"/>
          </w:tcPr>
          <w:p w:rsidR="00B27604" w:rsidRPr="009F22BD" w:rsidRDefault="00B27604" w:rsidP="00E30F59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425"/>
              </w:tabs>
              <w:rPr>
                <w:rFonts w:cs="Arial"/>
              </w:rPr>
            </w:pPr>
          </w:p>
        </w:tc>
        <w:tc>
          <w:tcPr>
            <w:tcW w:w="8386" w:type="dxa"/>
          </w:tcPr>
          <w:p w:rsidR="009733AF" w:rsidRPr="009F22BD" w:rsidRDefault="009733AF" w:rsidP="00E30F59">
            <w:pPr>
              <w:rPr>
                <w:rFonts w:cs="Arial"/>
              </w:rPr>
            </w:pPr>
          </w:p>
          <w:p w:rsidR="009733AF" w:rsidRPr="009F22BD" w:rsidRDefault="009733AF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733AF" w:rsidRPr="009F22BD" w:rsidRDefault="009733AF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7C6FED" w:rsidRDefault="007C6FED" w:rsidP="00E30F59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Synchronisierter Tandem</w:t>
            </w:r>
            <w:r w:rsidR="00362B1E">
              <w:rPr>
                <w:rFonts w:ascii="Arial" w:hAnsi="Arial"/>
                <w:b/>
                <w:bCs/>
              </w:rPr>
              <w:t>-B</w:t>
            </w:r>
            <w:r>
              <w:rPr>
                <w:rFonts w:ascii="Arial" w:hAnsi="Arial"/>
                <w:b/>
                <w:bCs/>
              </w:rPr>
              <w:t>etrieb für breite Fenster</w:t>
            </w:r>
          </w:p>
          <w:p w:rsidR="007C6FED" w:rsidRDefault="007C6FED" w:rsidP="00E30F59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</w:p>
          <w:p w:rsidR="007C6FED" w:rsidRDefault="007C6FED" w:rsidP="00E30F59">
            <w:pPr>
              <w:rPr>
                <w:rFonts w:cs="Arial"/>
              </w:rPr>
            </w:pPr>
            <w:r>
              <w:rPr>
                <w:rFonts w:cs="Arial"/>
              </w:rPr>
              <w:t>Für Flügelbreiten größer 1500 mm bzw. 800 mm wird das RWA 105 NT SYNCRO Set benötigt. Die verwendeten E 250 NT Antriebe verfügen über eine integrierte Synchronsteuerung</w:t>
            </w:r>
            <w:r w:rsidR="00362B1E">
              <w:rPr>
                <w:rFonts w:cs="Arial"/>
              </w:rPr>
              <w:t xml:space="preserve"> die über DIP Schalter aktiviert wird</w:t>
            </w:r>
            <w:r>
              <w:rPr>
                <w:rFonts w:cs="Arial"/>
              </w:rPr>
              <w:t>.</w:t>
            </w:r>
          </w:p>
          <w:p w:rsidR="007C6FED" w:rsidRDefault="007C6FED" w:rsidP="00E30F59">
            <w:pPr>
              <w:rPr>
                <w:rFonts w:cs="Arial"/>
              </w:rPr>
            </w:pPr>
          </w:p>
          <w:p w:rsidR="007C6FED" w:rsidRPr="009F22BD" w:rsidRDefault="007C6FED" w:rsidP="00E30F59">
            <w:pPr>
              <w:rPr>
                <w:rFonts w:cs="Arial"/>
              </w:rPr>
            </w:pPr>
          </w:p>
        </w:tc>
      </w:tr>
      <w:tr w:rsidR="009E1E25" w:rsidRPr="009F22BD" w:rsidTr="002F3278">
        <w:tc>
          <w:tcPr>
            <w:tcW w:w="754" w:type="dxa"/>
          </w:tcPr>
          <w:p w:rsidR="009E1E25" w:rsidRPr="009F22BD" w:rsidRDefault="009E1E25" w:rsidP="00E30F59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425"/>
              </w:tabs>
              <w:rPr>
                <w:rFonts w:cs="Arial"/>
              </w:rPr>
            </w:pPr>
          </w:p>
        </w:tc>
        <w:tc>
          <w:tcPr>
            <w:tcW w:w="8386" w:type="dxa"/>
          </w:tcPr>
          <w:p w:rsidR="009733AF" w:rsidRPr="009F22BD" w:rsidRDefault="009733AF" w:rsidP="00E30F59">
            <w:pPr>
              <w:rPr>
                <w:rFonts w:cs="Arial"/>
              </w:rPr>
            </w:pPr>
          </w:p>
          <w:p w:rsidR="009733AF" w:rsidRPr="009F22BD" w:rsidRDefault="009733AF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733AF" w:rsidRPr="009F22BD" w:rsidRDefault="009733AF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B27604" w:rsidRDefault="00B27604" w:rsidP="00E30F59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Hinweise:</w:t>
            </w:r>
          </w:p>
          <w:p w:rsidR="00B27604" w:rsidRDefault="00B27604" w:rsidP="00E30F59">
            <w:pPr>
              <w:pStyle w:val="Textkrper21"/>
              <w:ind w:left="0" w:firstLine="0"/>
              <w:rPr>
                <w:rFonts w:ascii="Arial" w:hAnsi="Arial"/>
                <w:b/>
                <w:bCs/>
              </w:rPr>
            </w:pPr>
          </w:p>
          <w:p w:rsidR="00B27604" w:rsidRPr="007C0100" w:rsidRDefault="00B27604" w:rsidP="00E30F59">
            <w:pPr>
              <w:rPr>
                <w:rFonts w:cs="Arial"/>
              </w:rPr>
            </w:pPr>
            <w:r w:rsidRPr="007C0100">
              <w:rPr>
                <w:rFonts w:cs="Arial"/>
              </w:rPr>
              <w:t>Auf der Antriebsseite wird ein zusätzliches Band zur Lastverteilung benötigt.</w:t>
            </w:r>
          </w:p>
          <w:p w:rsidR="00B27604" w:rsidRDefault="00B27604" w:rsidP="00E30F59">
            <w:pPr>
              <w:rPr>
                <w:rFonts w:cs="Arial"/>
              </w:rPr>
            </w:pPr>
          </w:p>
          <w:p w:rsidR="00B27604" w:rsidRDefault="00B27604" w:rsidP="00E30F59">
            <w:pPr>
              <w:rPr>
                <w:rFonts w:cs="Arial"/>
              </w:rPr>
            </w:pPr>
            <w:r w:rsidRPr="003C34C0">
              <w:rPr>
                <w:rFonts w:cs="Arial"/>
              </w:rPr>
              <w:t xml:space="preserve">Sie benötigen noch eine Notstromsteuerzentrale </w:t>
            </w:r>
            <w:r w:rsidRPr="003C34C0">
              <w:rPr>
                <w:rFonts w:cs="Arial"/>
                <w:b/>
                <w:bCs/>
              </w:rPr>
              <w:t>GEZE</w:t>
            </w:r>
            <w:r w:rsidRPr="003C34C0">
              <w:rPr>
                <w:rFonts w:cs="Arial"/>
              </w:rPr>
              <w:t xml:space="preserve"> </w:t>
            </w:r>
            <w:r w:rsidRPr="003C34C0">
              <w:rPr>
                <w:rFonts w:cs="Arial"/>
                <w:b/>
              </w:rPr>
              <w:t>E 260 N</w:t>
            </w:r>
            <w:r w:rsidRPr="004577BF">
              <w:rPr>
                <w:rFonts w:cs="Arial"/>
                <w:b/>
              </w:rPr>
              <w:t xml:space="preserve">, THZ, THZ </w:t>
            </w:r>
            <w:proofErr w:type="spellStart"/>
            <w:r w:rsidRPr="004577BF">
              <w:rPr>
                <w:rFonts w:cs="Arial"/>
                <w:b/>
              </w:rPr>
              <w:t>Comfort</w:t>
            </w:r>
            <w:proofErr w:type="spellEnd"/>
            <w:r w:rsidRPr="004577BF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oder</w:t>
            </w:r>
            <w:r w:rsidRPr="003C34C0">
              <w:rPr>
                <w:rFonts w:cs="Arial"/>
              </w:rPr>
              <w:t xml:space="preserve"> </w:t>
            </w:r>
            <w:r w:rsidRPr="003C34C0">
              <w:rPr>
                <w:rFonts w:cs="Arial"/>
                <w:b/>
              </w:rPr>
              <w:t>MBZ 300</w:t>
            </w:r>
            <w:r>
              <w:rPr>
                <w:rFonts w:cs="Arial"/>
              </w:rPr>
              <w:t xml:space="preserve"> und Zubehör. Für 230V Lüftungsanwendungen werden separat erhältliche Netzteile, </w:t>
            </w:r>
            <w:r w:rsidRPr="00B91EDC">
              <w:rPr>
                <w:rFonts w:cs="Arial"/>
                <w:b/>
              </w:rPr>
              <w:t xml:space="preserve">IQ </w:t>
            </w:r>
            <w:proofErr w:type="spellStart"/>
            <w:r w:rsidRPr="00B91EDC">
              <w:rPr>
                <w:rFonts w:cs="Arial"/>
                <w:b/>
              </w:rPr>
              <w:t>gear</w:t>
            </w:r>
            <w:proofErr w:type="spellEnd"/>
            <w:r>
              <w:rPr>
                <w:rFonts w:cs="Arial"/>
              </w:rPr>
              <w:t xml:space="preserve"> und </w:t>
            </w:r>
            <w:proofErr w:type="spellStart"/>
            <w:r>
              <w:rPr>
                <w:rFonts w:cs="Arial"/>
              </w:rPr>
              <w:t>Lüftertaster</w:t>
            </w:r>
            <w:proofErr w:type="spellEnd"/>
            <w:r>
              <w:rPr>
                <w:rFonts w:cs="Arial"/>
              </w:rPr>
              <w:t xml:space="preserve"> benötigt.</w:t>
            </w:r>
          </w:p>
          <w:p w:rsidR="009E1E25" w:rsidRPr="009F22BD" w:rsidRDefault="009E1E25" w:rsidP="00E30F59">
            <w:pPr>
              <w:rPr>
                <w:rFonts w:cs="Arial"/>
              </w:rPr>
            </w:pPr>
          </w:p>
        </w:tc>
      </w:tr>
      <w:tr w:rsidR="002F3278" w:rsidTr="002F3278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2F3278" w:rsidRDefault="002F3278" w:rsidP="00E30F59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1.3</w:t>
            </w:r>
          </w:p>
        </w:tc>
        <w:tc>
          <w:tcPr>
            <w:tcW w:w="8381" w:type="dxa"/>
          </w:tcPr>
          <w:p w:rsidR="009733AF" w:rsidRPr="009F22BD" w:rsidRDefault="009733AF" w:rsidP="00E30F59">
            <w:pPr>
              <w:rPr>
                <w:rFonts w:cs="Arial"/>
              </w:rPr>
            </w:pPr>
          </w:p>
          <w:p w:rsidR="009733AF" w:rsidRPr="009F22BD" w:rsidRDefault="009733AF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733AF" w:rsidRPr="009F22BD" w:rsidRDefault="009733AF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Einbau und Funktionsprüfung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Einbau und Funktionsprüfung durch einen vom Hersteller autorisierten Sachkundigen.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</w:tc>
      </w:tr>
      <w:tr w:rsidR="002F3278" w:rsidTr="002F3278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2F3278" w:rsidRDefault="002F3278" w:rsidP="00E30F59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lastRenderedPageBreak/>
              <w:t>1.4</w:t>
            </w:r>
          </w:p>
        </w:tc>
        <w:tc>
          <w:tcPr>
            <w:tcW w:w="8381" w:type="dxa"/>
          </w:tcPr>
          <w:p w:rsidR="009733AF" w:rsidRPr="009F22BD" w:rsidRDefault="009733AF" w:rsidP="00E30F59">
            <w:pPr>
              <w:rPr>
                <w:rFonts w:cs="Arial"/>
              </w:rPr>
            </w:pPr>
          </w:p>
          <w:p w:rsidR="009733AF" w:rsidRPr="009F22BD" w:rsidRDefault="009733AF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733AF" w:rsidRPr="009F22BD" w:rsidRDefault="009733AF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Inbetriebnahme und Abnahme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Abnahme der gesamten RWA-Anlage durch einen behördlich anerkannten Sachverständigen und Übergabe der Abnahmeprotokolle.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</w:tc>
      </w:tr>
      <w:tr w:rsidR="002F3278" w:rsidTr="002F3278">
        <w:tblPrEx>
          <w:tblLook w:val="04A0" w:firstRow="1" w:lastRow="0" w:firstColumn="1" w:lastColumn="0" w:noHBand="0" w:noVBand="1"/>
        </w:tblPrEx>
        <w:tc>
          <w:tcPr>
            <w:tcW w:w="754" w:type="dxa"/>
          </w:tcPr>
          <w:p w:rsidR="002F3278" w:rsidRDefault="002F3278" w:rsidP="00E30F59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1.5</w:t>
            </w:r>
          </w:p>
        </w:tc>
        <w:tc>
          <w:tcPr>
            <w:tcW w:w="8381" w:type="dxa"/>
          </w:tcPr>
          <w:p w:rsidR="002F3278" w:rsidRPr="002F3278" w:rsidRDefault="002F3278" w:rsidP="00E30F59">
            <w:pPr>
              <w:ind w:firstLine="664"/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 xml:space="preserve">.........................  </w:t>
            </w:r>
            <w:proofErr w:type="spellStart"/>
            <w:r w:rsidRPr="002F3278">
              <w:rPr>
                <w:rFonts w:cs="Arial"/>
                <w:lang w:eastAsia="en-US"/>
              </w:rPr>
              <w:t>Stk</w:t>
            </w:r>
            <w:proofErr w:type="spellEnd"/>
            <w:r w:rsidRPr="002F3278">
              <w:rPr>
                <w:rFonts w:cs="Arial"/>
                <w:lang w:eastAsia="en-US"/>
              </w:rPr>
              <w:t xml:space="preserve">                   ..............................  €             ..............................  €</w:t>
            </w:r>
          </w:p>
          <w:p w:rsidR="002F3278" w:rsidRPr="002F3278" w:rsidRDefault="002F3278" w:rsidP="00E30F59">
            <w:pPr>
              <w:tabs>
                <w:tab w:val="left" w:pos="3792"/>
              </w:tabs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Servicewartung Kompakt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Wartung und Prüfung von Feststellanlagen</w:t>
            </w: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(Eventualposition)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Servicepaket für Wartung und Prüfung nach ASR A1.7 sowie nach Herstellerangabe mit folgenden Leistungsmerkmalen: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Einmalige Wartung je Vertragsjahr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Kostenlose Bereitstellung und Führung der Prüfunterlagen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Anbringen der Prüfplakette</w:t>
            </w:r>
          </w:p>
          <w:p w:rsidR="002F3278" w:rsidRPr="002F3278" w:rsidRDefault="002F3278" w:rsidP="00E30F59">
            <w:pPr>
              <w:ind w:left="113" w:hanging="113"/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Stör- und Reparatureinsätze während der Vertragslaufzeit werden zu reduzierten Stundensätzen durchgeführt</w:t>
            </w:r>
          </w:p>
          <w:p w:rsidR="002F3278" w:rsidRPr="002F3278" w:rsidRDefault="002F3278" w:rsidP="00E30F59">
            <w:pPr>
              <w:ind w:left="113" w:hanging="113"/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Der Einsatz von Servicetechnikern erfolgt innerhalb 24 Stunden nach Meldungseingang von Montag – Freitag in der Zeit von 07.00 – 17.00 Uhr ohne Zuschläge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Persönliche Erreichbarkeit des Helpdesk 24 Std. an 365 Tagen</w:t>
            </w:r>
          </w:p>
          <w:p w:rsidR="002F3278" w:rsidRDefault="002F3278" w:rsidP="00E30F59">
            <w:pPr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 xml:space="preserve">- </w:t>
            </w:r>
            <w:proofErr w:type="spellStart"/>
            <w:r>
              <w:rPr>
                <w:rFonts w:cs="Arial"/>
                <w:lang w:val="en-US" w:eastAsia="en-US"/>
              </w:rPr>
              <w:t>Vertragslaufzeit</w:t>
            </w:r>
            <w:proofErr w:type="spellEnd"/>
            <w:r>
              <w:rPr>
                <w:rFonts w:cs="Arial"/>
                <w:lang w:val="en-US" w:eastAsia="en-US"/>
              </w:rPr>
              <w:t xml:space="preserve">: 2 </w:t>
            </w:r>
            <w:proofErr w:type="spellStart"/>
            <w:r>
              <w:rPr>
                <w:rFonts w:cs="Arial"/>
                <w:lang w:val="en-US" w:eastAsia="en-US"/>
              </w:rPr>
              <w:t>Jahre</w:t>
            </w:r>
            <w:proofErr w:type="spellEnd"/>
          </w:p>
          <w:p w:rsidR="009733AF" w:rsidRDefault="009733AF" w:rsidP="00E30F59">
            <w:pPr>
              <w:rPr>
                <w:rFonts w:cs="Arial"/>
                <w:lang w:val="en-US" w:eastAsia="en-US"/>
              </w:rPr>
            </w:pPr>
          </w:p>
        </w:tc>
      </w:tr>
      <w:tr w:rsidR="002F3278" w:rsidTr="002F3278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2F3278" w:rsidRDefault="002F3278" w:rsidP="00E30F59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1.6</w:t>
            </w:r>
          </w:p>
        </w:tc>
        <w:tc>
          <w:tcPr>
            <w:tcW w:w="8381" w:type="dxa"/>
          </w:tcPr>
          <w:p w:rsidR="009733AF" w:rsidRPr="009F22BD" w:rsidRDefault="009733AF" w:rsidP="00E30F59">
            <w:pPr>
              <w:rPr>
                <w:rFonts w:cs="Arial"/>
              </w:rPr>
            </w:pPr>
          </w:p>
          <w:p w:rsidR="009733AF" w:rsidRPr="009F22BD" w:rsidRDefault="009733AF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733AF" w:rsidRPr="009F22BD" w:rsidRDefault="009733AF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Servicewartung Komfort</w:t>
            </w: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Servicewartung (Eventualposition)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Komfort Servicepaket für Wartung und UVV-Prüfung nach ASR A1.7 sowie nach Herstellerangaben mit folgenden Leistungsmerkmalen: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Verlängerung der Gewährleistung auf 36 Monate</w:t>
            </w:r>
          </w:p>
          <w:p w:rsidR="002F3278" w:rsidRPr="002F3278" w:rsidRDefault="002F3278" w:rsidP="00E30F59">
            <w:pPr>
              <w:ind w:left="113"/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 xml:space="preserve">(Voraussetzung: Abschluss des Wartungsvertrages spätestens 3 Monate nach </w:t>
            </w:r>
            <w:proofErr w:type="spellStart"/>
            <w:r w:rsidRPr="002F3278">
              <w:rPr>
                <w:rFonts w:cs="Arial"/>
                <w:lang w:eastAsia="en-US"/>
              </w:rPr>
              <w:t>Inbetriebnahmedatum</w:t>
            </w:r>
            <w:proofErr w:type="spellEnd"/>
            <w:r w:rsidRPr="002F3278">
              <w:rPr>
                <w:rFonts w:cs="Arial"/>
                <w:lang w:eastAsia="en-US"/>
              </w:rPr>
              <w:t>)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Einmalige Wartung je Vertragsjahr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Kostenlose Bereitstellung und Führung der Prüfunterlagen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Anbringen der Prüfplakette</w:t>
            </w:r>
          </w:p>
          <w:p w:rsidR="002F3278" w:rsidRPr="002F3278" w:rsidRDefault="002F3278" w:rsidP="00E30F59">
            <w:pPr>
              <w:ind w:left="113" w:hanging="113"/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Keine gesonderte Berechnung von Serviceleistungen und Fahrtkosten während des Garantiezeitraums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Keine gesonderte Berechnung von Kleinteilen bis 25,- EUR je Wartung</w:t>
            </w:r>
          </w:p>
          <w:p w:rsidR="002F3278" w:rsidRPr="002F3278" w:rsidRDefault="002F3278" w:rsidP="00E30F59">
            <w:pPr>
              <w:ind w:left="113" w:hanging="113"/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Keine gesonderte Berechnung von Arbeitszeit bei Austausch von Ersatzteilen während der Wartung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>- Persönliche Erreichbarkeit des Helpdesk 24 Std. an 365 Tagen</w:t>
            </w:r>
          </w:p>
          <w:p w:rsidR="002F3278" w:rsidRDefault="002F3278" w:rsidP="00E30F59">
            <w:pPr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 xml:space="preserve">- </w:t>
            </w:r>
            <w:proofErr w:type="spellStart"/>
            <w:r>
              <w:rPr>
                <w:rFonts w:cs="Arial"/>
                <w:lang w:val="en-US" w:eastAsia="en-US"/>
              </w:rPr>
              <w:t>Vertragslaufzeit</w:t>
            </w:r>
            <w:proofErr w:type="spellEnd"/>
            <w:r>
              <w:rPr>
                <w:rFonts w:cs="Arial"/>
                <w:lang w:val="en-US" w:eastAsia="en-US"/>
              </w:rPr>
              <w:t xml:space="preserve">: 3 </w:t>
            </w:r>
            <w:proofErr w:type="spellStart"/>
            <w:r>
              <w:rPr>
                <w:rFonts w:cs="Arial"/>
                <w:lang w:val="en-US" w:eastAsia="en-US"/>
              </w:rPr>
              <w:t>Jahre</w:t>
            </w:r>
            <w:proofErr w:type="spellEnd"/>
          </w:p>
          <w:p w:rsidR="009733AF" w:rsidRDefault="009733AF" w:rsidP="00E30F59">
            <w:pPr>
              <w:rPr>
                <w:rFonts w:cs="Arial"/>
                <w:lang w:val="en-US" w:eastAsia="en-US"/>
              </w:rPr>
            </w:pPr>
          </w:p>
        </w:tc>
      </w:tr>
      <w:tr w:rsidR="002F3278" w:rsidTr="002F3278">
        <w:tblPrEx>
          <w:tblLook w:val="04A0" w:firstRow="1" w:lastRow="0" w:firstColumn="1" w:lastColumn="0" w:noHBand="0" w:noVBand="1"/>
        </w:tblPrEx>
        <w:tc>
          <w:tcPr>
            <w:tcW w:w="754" w:type="dxa"/>
            <w:hideMark/>
          </w:tcPr>
          <w:p w:rsidR="002F3278" w:rsidRDefault="002F3278" w:rsidP="00E30F59">
            <w:pPr>
              <w:pStyle w:val="Kopfzeile"/>
              <w:tabs>
                <w:tab w:val="left" w:pos="425"/>
              </w:tabs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1.7</w:t>
            </w:r>
          </w:p>
        </w:tc>
        <w:tc>
          <w:tcPr>
            <w:tcW w:w="8381" w:type="dxa"/>
          </w:tcPr>
          <w:p w:rsidR="009733AF" w:rsidRPr="009F22BD" w:rsidRDefault="009733AF" w:rsidP="00E30F59">
            <w:pPr>
              <w:rPr>
                <w:rFonts w:cs="Arial"/>
              </w:rPr>
            </w:pPr>
          </w:p>
          <w:p w:rsidR="009733AF" w:rsidRPr="009F22BD" w:rsidRDefault="009733AF" w:rsidP="00E30F59">
            <w:pPr>
              <w:rPr>
                <w:rFonts w:cs="Arial"/>
              </w:rPr>
            </w:pPr>
            <w:r w:rsidRPr="009F22BD">
              <w:rPr>
                <w:rFonts w:cs="Arial"/>
              </w:rPr>
              <w:t xml:space="preserve">             .........................  </w:t>
            </w:r>
            <w:proofErr w:type="spellStart"/>
            <w:r w:rsidRPr="009F22BD">
              <w:rPr>
                <w:rFonts w:cs="Arial"/>
              </w:rPr>
              <w:t>Stk</w:t>
            </w:r>
            <w:proofErr w:type="spellEnd"/>
            <w:r w:rsidRPr="009F22BD">
              <w:rPr>
                <w:rFonts w:cs="Arial"/>
              </w:rPr>
              <w:t xml:space="preserve">                   ..............................  €             ..............................  €</w:t>
            </w:r>
          </w:p>
          <w:p w:rsidR="009733AF" w:rsidRPr="009F22BD" w:rsidRDefault="009733AF" w:rsidP="00E30F59">
            <w:pPr>
              <w:tabs>
                <w:tab w:val="left" w:pos="3792"/>
              </w:tabs>
              <w:rPr>
                <w:rFonts w:cs="Arial"/>
              </w:rPr>
            </w:pPr>
          </w:p>
          <w:p w:rsidR="002F3278" w:rsidRPr="002F3278" w:rsidRDefault="002F3278" w:rsidP="00E30F59">
            <w:pPr>
              <w:rPr>
                <w:rFonts w:cs="Arial"/>
                <w:b/>
                <w:lang w:eastAsia="en-US"/>
              </w:rPr>
            </w:pPr>
            <w:r w:rsidRPr="002F3278">
              <w:rPr>
                <w:rFonts w:cs="Arial"/>
                <w:b/>
                <w:lang w:eastAsia="en-US"/>
              </w:rPr>
              <w:t>Lieferung und Montage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 xml:space="preserve">Elektroverkabelung bauseits durch Elektrofirma nach GEZE Kabelplan. Lieferung Montage und Inbetriebnahme durch Werksmonteure bzw. Servicepartner. Durchführung einer Sicherheitsanalyse, Einweisung des Betreibers in die Funktion der Anlage und Übergabe der Dokumentationen. </w:t>
            </w:r>
          </w:p>
          <w:p w:rsidR="002F3278" w:rsidRPr="002F3278" w:rsidRDefault="002F3278" w:rsidP="00E30F59">
            <w:pPr>
              <w:rPr>
                <w:rFonts w:cs="Arial"/>
                <w:lang w:eastAsia="en-US"/>
              </w:rPr>
            </w:pPr>
            <w:r w:rsidRPr="002F3278">
              <w:rPr>
                <w:rFonts w:cs="Arial"/>
                <w:lang w:eastAsia="en-US"/>
              </w:rPr>
              <w:t xml:space="preserve">Jährliche Wartung und technische Prüfung durch einen vom Hersteller autorisierten Sachkundigen inkl. Dokumentation der Prüfung in einem </w:t>
            </w:r>
            <w:proofErr w:type="spellStart"/>
            <w:r w:rsidRPr="002F3278">
              <w:rPr>
                <w:rFonts w:cs="Arial"/>
                <w:lang w:eastAsia="en-US"/>
              </w:rPr>
              <w:t>Prüfbuch</w:t>
            </w:r>
            <w:proofErr w:type="spellEnd"/>
            <w:r w:rsidRPr="002F3278">
              <w:rPr>
                <w:rFonts w:cs="Arial"/>
                <w:lang w:eastAsia="en-US"/>
              </w:rPr>
              <w:t>.</w:t>
            </w:r>
          </w:p>
          <w:p w:rsidR="002F3278" w:rsidRPr="002F3278" w:rsidRDefault="002F3278" w:rsidP="00E30F59">
            <w:pPr>
              <w:pStyle w:val="Kopfzeile"/>
              <w:tabs>
                <w:tab w:val="left" w:pos="708"/>
              </w:tabs>
              <w:rPr>
                <w:rFonts w:cs="Arial"/>
                <w:lang w:eastAsia="en-US"/>
              </w:rPr>
            </w:pPr>
          </w:p>
        </w:tc>
      </w:tr>
      <w:bookmarkEnd w:id="0"/>
    </w:tbl>
    <w:p w:rsidR="009E1E25" w:rsidRPr="009F22BD" w:rsidRDefault="009E1E25" w:rsidP="00E30F59">
      <w:pPr>
        <w:rPr>
          <w:rFonts w:cs="Arial"/>
        </w:rPr>
      </w:pPr>
    </w:p>
    <w:sectPr w:rsidR="009E1E25" w:rsidRPr="009F22BD" w:rsidSect="009D4D25">
      <w:headerReference w:type="default" r:id="rId8"/>
      <w:footerReference w:type="default" r:id="rId9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4B" w:rsidRDefault="00265A4B">
      <w:r>
        <w:separator/>
      </w:r>
    </w:p>
  </w:endnote>
  <w:endnote w:type="continuationSeparator" w:id="0">
    <w:p w:rsidR="00265A4B" w:rsidRDefault="0026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4B" w:rsidRPr="007C1409" w:rsidRDefault="00265A4B" w:rsidP="0096472A">
    <w:pPr>
      <w:pStyle w:val="HTMLVorformatiert"/>
      <w:rPr>
        <w:rFonts w:ascii="Arial" w:hAnsi="Arial" w:cs="Arial"/>
      </w:rPr>
    </w:pPr>
    <w:r>
      <w:rPr>
        <w:rFonts w:ascii="Arial" w:hAnsi="Arial" w:cs="Arial"/>
      </w:rPr>
      <w:t xml:space="preserve">Bezugsquelle: </w:t>
    </w:r>
    <w:r w:rsidRPr="007C1409">
      <w:rPr>
        <w:rFonts w:ascii="Arial" w:hAnsi="Arial" w:cs="Arial"/>
      </w:rPr>
      <w:t>GEZE GmbH</w:t>
    </w:r>
    <w:r>
      <w:rPr>
        <w:rFonts w:ascii="Arial" w:hAnsi="Arial" w:cs="Arial"/>
      </w:rPr>
      <w:t xml:space="preserve">, </w:t>
    </w:r>
    <w:r w:rsidRPr="007C1409">
      <w:rPr>
        <w:rFonts w:ascii="Arial" w:hAnsi="Arial" w:cs="Arial"/>
      </w:rPr>
      <w:t>Reinhold-Vöster-Str. 21-29</w:t>
    </w:r>
    <w:r>
      <w:rPr>
        <w:rFonts w:ascii="Arial" w:hAnsi="Arial" w:cs="Arial"/>
      </w:rPr>
      <w:t>,</w:t>
    </w:r>
    <w:r w:rsidRPr="007C1409">
      <w:rPr>
        <w:rFonts w:ascii="Arial" w:hAnsi="Arial" w:cs="Arial"/>
      </w:rPr>
      <w:t xml:space="preserve"> D-71229 Leonberg</w:t>
    </w:r>
    <w:r>
      <w:rPr>
        <w:rFonts w:ascii="Arial" w:hAnsi="Arial" w:cs="Arial"/>
      </w:rPr>
      <w:t>, Web:</w:t>
    </w:r>
    <w:r w:rsidRPr="007C1409">
      <w:rPr>
        <w:rFonts w:ascii="Arial" w:hAnsi="Arial" w:cs="Arial"/>
      </w:rPr>
      <w:t xml:space="preserve"> www.geze.com</w:t>
    </w:r>
  </w:p>
  <w:p w:rsidR="00265A4B" w:rsidRPr="007C1409" w:rsidRDefault="00265A4B" w:rsidP="0096472A">
    <w:pPr>
      <w:pStyle w:val="HTMLVorformatiert"/>
      <w:rPr>
        <w:rFonts w:ascii="Arial" w:hAnsi="Arial" w:cs="Arial"/>
      </w:rPr>
    </w:pPr>
    <w:r w:rsidRPr="007C1409">
      <w:rPr>
        <w:rFonts w:ascii="Arial" w:hAnsi="Arial" w:cs="Arial"/>
      </w:rPr>
      <w:t>Tel.: 07152-203-0</w:t>
    </w:r>
    <w:r>
      <w:rPr>
        <w:rFonts w:ascii="Arial" w:hAnsi="Arial" w:cs="Arial"/>
      </w:rPr>
      <w:t xml:space="preserve">, </w:t>
    </w:r>
    <w:r w:rsidRPr="007C1409">
      <w:rPr>
        <w:rFonts w:ascii="Arial" w:hAnsi="Arial" w:cs="Arial"/>
      </w:rPr>
      <w:t>Fax: 07152-203-310</w:t>
    </w:r>
    <w:r>
      <w:rPr>
        <w:rFonts w:ascii="Arial" w:hAnsi="Arial" w:cs="Arial"/>
      </w:rPr>
      <w:t xml:space="preserve">, E-Mail: </w:t>
    </w:r>
    <w:r w:rsidR="002F3278">
      <w:rPr>
        <w:rFonts w:ascii="Arial" w:hAnsi="Arial" w:cs="Arial"/>
      </w:rPr>
      <w:t>info</w:t>
    </w:r>
    <w:r w:rsidRPr="007C1409">
      <w:rPr>
        <w:rFonts w:ascii="Arial" w:hAnsi="Arial" w:cs="Arial"/>
      </w:rPr>
      <w:t>.de@geze.com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4B" w:rsidRDefault="00265A4B">
      <w:r>
        <w:separator/>
      </w:r>
    </w:p>
  </w:footnote>
  <w:footnote w:type="continuationSeparator" w:id="0">
    <w:p w:rsidR="00265A4B" w:rsidRDefault="0026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4B" w:rsidRDefault="00265A4B">
    <w:pPr>
      <w:pStyle w:val="Kopfzeile"/>
      <w:tabs>
        <w:tab w:val="left" w:pos="5670"/>
      </w:tabs>
      <w:rPr>
        <w:rFonts w:cs="Arial"/>
      </w:rPr>
    </w:pPr>
    <w:r>
      <w:rPr>
        <w:rFonts w:cs="Arial"/>
      </w:rPr>
      <w:t xml:space="preserve">Ausschreibungstext RWA 105 NT                               </w:t>
    </w:r>
    <w:r w:rsidR="00362B1E">
      <w:rPr>
        <w:rFonts w:cs="Arial"/>
      </w:rPr>
      <w:t xml:space="preserve">                     Version 1.0</w:t>
    </w:r>
    <w:r>
      <w:rPr>
        <w:rFonts w:cs="Arial"/>
      </w:rPr>
      <w:tab/>
      <w:t xml:space="preserve">Stand: </w:t>
    </w:r>
    <w:r w:rsidR="009A4AE2">
      <w:rPr>
        <w:rFonts w:cs="Arial"/>
      </w:rPr>
      <w:fldChar w:fldCharType="begin"/>
    </w:r>
    <w:r>
      <w:rPr>
        <w:rFonts w:cs="Arial"/>
      </w:rPr>
      <w:instrText xml:space="preserve"> TIME \@ "dd.MM.yy" </w:instrText>
    </w:r>
    <w:r w:rsidR="009A4AE2">
      <w:rPr>
        <w:rFonts w:cs="Arial"/>
      </w:rPr>
      <w:fldChar w:fldCharType="separate"/>
    </w:r>
    <w:r w:rsidR="009733AF">
      <w:rPr>
        <w:rFonts w:cs="Arial"/>
        <w:noProof/>
      </w:rPr>
      <w:t>15.03.16</w:t>
    </w:r>
    <w:r w:rsidR="009A4AE2">
      <w:rPr>
        <w:rFonts w:cs="Arial"/>
      </w:rPr>
      <w:fldChar w:fldCharType="end"/>
    </w:r>
  </w:p>
  <w:p w:rsidR="00265A4B" w:rsidRDefault="00265A4B">
    <w:pPr>
      <w:pStyle w:val="Kopfzeile"/>
      <w:rPr>
        <w:rFonts w:cs="Arial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3402"/>
      <w:gridCol w:w="709"/>
      <w:gridCol w:w="3827"/>
    </w:tblGrid>
    <w:tr w:rsidR="00265A4B" w:rsidRPr="00090CDB" w:rsidTr="00CC7DE3">
      <w:trPr>
        <w:cantSplit/>
        <w:trHeight w:hRule="exact" w:val="284"/>
      </w:trPr>
      <w:tc>
        <w:tcPr>
          <w:tcW w:w="1242" w:type="dxa"/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Objekt:</w:t>
          </w:r>
        </w:p>
      </w:tc>
      <w:tc>
        <w:tcPr>
          <w:tcW w:w="7938" w:type="dxa"/>
          <w:gridSpan w:val="3"/>
          <w:tcBorders>
            <w:bottom w:val="single" w:sz="4" w:space="0" w:color="000000"/>
          </w:tcBorders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</w:p>
      </w:tc>
    </w:tr>
    <w:tr w:rsidR="00265A4B" w:rsidRPr="00090CDB" w:rsidTr="00CC7DE3">
      <w:trPr>
        <w:cantSplit/>
        <w:trHeight w:hRule="exact" w:val="284"/>
      </w:trPr>
      <w:tc>
        <w:tcPr>
          <w:tcW w:w="1242" w:type="dxa"/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Betreuung:</w:t>
          </w:r>
        </w:p>
      </w:tc>
      <w:tc>
        <w:tcPr>
          <w:tcW w:w="7938" w:type="dxa"/>
          <w:gridSpan w:val="3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</w:p>
      </w:tc>
    </w:tr>
    <w:tr w:rsidR="00265A4B" w:rsidRPr="00090CDB" w:rsidTr="00CC7DE3">
      <w:trPr>
        <w:cantSplit/>
        <w:trHeight w:hRule="exact" w:val="284"/>
      </w:trPr>
      <w:tc>
        <w:tcPr>
          <w:tcW w:w="1242" w:type="dxa"/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LV-Nr.:</w:t>
          </w:r>
        </w:p>
      </w:tc>
      <w:tc>
        <w:tcPr>
          <w:tcW w:w="3402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</w:p>
      </w:tc>
      <w:tc>
        <w:tcPr>
          <w:tcW w:w="709" w:type="dxa"/>
          <w:tcBorders>
            <w:top w:val="single" w:sz="4" w:space="0" w:color="000000"/>
          </w:tcBorders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  <w:r w:rsidRPr="00090CDB">
            <w:rPr>
              <w:rFonts w:cs="Arial"/>
            </w:rPr>
            <w:t>Ort.:</w:t>
          </w:r>
        </w:p>
      </w:tc>
      <w:tc>
        <w:tcPr>
          <w:tcW w:w="3827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265A4B" w:rsidRPr="00090CDB" w:rsidRDefault="00265A4B" w:rsidP="00CC7DE3">
          <w:pPr>
            <w:pStyle w:val="Kopfzeile"/>
            <w:rPr>
              <w:rFonts w:cs="Arial"/>
            </w:rPr>
          </w:pPr>
        </w:p>
      </w:tc>
    </w:tr>
  </w:tbl>
  <w:p w:rsidR="00265A4B" w:rsidRDefault="00265A4B">
    <w:pPr>
      <w:pStyle w:val="Kopfzeile"/>
      <w:rPr>
        <w:rFonts w:cs="Arial"/>
      </w:rPr>
    </w:pPr>
  </w:p>
  <w:tbl>
    <w:tblPr>
      <w:tblW w:w="0" w:type="auto"/>
      <w:tblInd w:w="70" w:type="dxa"/>
      <w:tblBorders>
        <w:top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984"/>
      <w:gridCol w:w="851"/>
      <w:gridCol w:w="2410"/>
      <w:gridCol w:w="283"/>
      <w:gridCol w:w="2410"/>
      <w:gridCol w:w="283"/>
    </w:tblGrid>
    <w:tr w:rsidR="00265A4B">
      <w:trPr>
        <w:cantSplit/>
      </w:trPr>
      <w:tc>
        <w:tcPr>
          <w:tcW w:w="851" w:type="dxa"/>
        </w:tcPr>
        <w:p w:rsidR="00265A4B" w:rsidRDefault="00265A4B">
          <w:pPr>
            <w:pStyle w:val="Kopfzeile"/>
            <w:tabs>
              <w:tab w:val="clear" w:pos="4536"/>
              <w:tab w:val="clear" w:pos="9072"/>
              <w:tab w:val="left" w:pos="425"/>
            </w:tabs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Pos-Nr.</w:t>
          </w:r>
        </w:p>
      </w:tc>
      <w:tc>
        <w:tcPr>
          <w:tcW w:w="1984" w:type="dxa"/>
        </w:tcPr>
        <w:p w:rsidR="00265A4B" w:rsidRDefault="00265A4B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Menge</w:t>
          </w:r>
        </w:p>
      </w:tc>
      <w:tc>
        <w:tcPr>
          <w:tcW w:w="851" w:type="dxa"/>
        </w:tcPr>
        <w:p w:rsidR="00265A4B" w:rsidRDefault="00265A4B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Einheit</w:t>
          </w:r>
        </w:p>
      </w:tc>
      <w:tc>
        <w:tcPr>
          <w:tcW w:w="2410" w:type="dxa"/>
        </w:tcPr>
        <w:p w:rsidR="00265A4B" w:rsidRDefault="00265A4B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Einheitspreis</w:t>
          </w:r>
        </w:p>
      </w:tc>
      <w:tc>
        <w:tcPr>
          <w:tcW w:w="283" w:type="dxa"/>
        </w:tcPr>
        <w:p w:rsidR="00265A4B" w:rsidRDefault="00265A4B">
          <w:pPr>
            <w:spacing w:before="240" w:after="240"/>
            <w:jc w:val="center"/>
            <w:rPr>
              <w:rFonts w:cs="Arial"/>
            </w:rPr>
          </w:pPr>
        </w:p>
      </w:tc>
      <w:tc>
        <w:tcPr>
          <w:tcW w:w="2410" w:type="dxa"/>
        </w:tcPr>
        <w:p w:rsidR="00265A4B" w:rsidRDefault="00265A4B">
          <w:pPr>
            <w:spacing w:before="240" w:after="240"/>
            <w:jc w:val="center"/>
            <w:rPr>
              <w:rFonts w:cs="Arial"/>
            </w:rPr>
          </w:pPr>
          <w:r>
            <w:rPr>
              <w:rFonts w:cs="Arial"/>
            </w:rPr>
            <w:t>Gesamtbetrag</w:t>
          </w:r>
        </w:p>
      </w:tc>
      <w:tc>
        <w:tcPr>
          <w:tcW w:w="283" w:type="dxa"/>
        </w:tcPr>
        <w:p w:rsidR="00265A4B" w:rsidRDefault="00265A4B">
          <w:pPr>
            <w:spacing w:before="240" w:after="240"/>
            <w:jc w:val="center"/>
            <w:rPr>
              <w:rFonts w:cs="Arial"/>
            </w:rPr>
          </w:pPr>
        </w:p>
      </w:tc>
    </w:tr>
  </w:tbl>
  <w:p w:rsidR="00265A4B" w:rsidRDefault="00265A4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F9B"/>
    <w:multiLevelType w:val="singleLevel"/>
    <w:tmpl w:val="54E6638A"/>
    <w:lvl w:ilvl="0">
      <w:numFmt w:val="decimal"/>
      <w:lvlText w:val="1.%1"/>
      <w:legacy w:legacy="1" w:legacySpace="120" w:legacyIndent="425"/>
      <w:lvlJc w:val="left"/>
      <w:pPr>
        <w:ind w:left="425" w:hanging="425"/>
      </w:pPr>
    </w:lvl>
  </w:abstractNum>
  <w:abstractNum w:abstractNumId="1">
    <w:nsid w:val="593E5851"/>
    <w:multiLevelType w:val="hybridMultilevel"/>
    <w:tmpl w:val="C36A67A0"/>
    <w:lvl w:ilvl="0" w:tplc="A3C8D046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1125A7"/>
    <w:multiLevelType w:val="singleLevel"/>
    <w:tmpl w:val="5BD21186"/>
    <w:lvl w:ilvl="0">
      <w:numFmt w:val="decimal"/>
      <w:lvlText w:val="1.%1"/>
      <w:legacy w:legacy="1" w:legacySpace="120" w:legacyIndent="425"/>
      <w:lvlJc w:val="left"/>
      <w:pPr>
        <w:ind w:left="425" w:hanging="425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ABC"/>
    <w:rsid w:val="00240140"/>
    <w:rsid w:val="00265A4B"/>
    <w:rsid w:val="002E2566"/>
    <w:rsid w:val="002F1E6E"/>
    <w:rsid w:val="002F3278"/>
    <w:rsid w:val="00315A9D"/>
    <w:rsid w:val="00362B1E"/>
    <w:rsid w:val="00363D54"/>
    <w:rsid w:val="00380ABC"/>
    <w:rsid w:val="003D33E1"/>
    <w:rsid w:val="004D58D0"/>
    <w:rsid w:val="00612A24"/>
    <w:rsid w:val="006E577A"/>
    <w:rsid w:val="006E5C51"/>
    <w:rsid w:val="0075016F"/>
    <w:rsid w:val="007520B8"/>
    <w:rsid w:val="0076249C"/>
    <w:rsid w:val="007C6FED"/>
    <w:rsid w:val="0096472A"/>
    <w:rsid w:val="009733AF"/>
    <w:rsid w:val="009A4AE2"/>
    <w:rsid w:val="009D4D25"/>
    <w:rsid w:val="009E1E25"/>
    <w:rsid w:val="009F22BD"/>
    <w:rsid w:val="00B27604"/>
    <w:rsid w:val="00C9689E"/>
    <w:rsid w:val="00CB09D7"/>
    <w:rsid w:val="00CC7DE3"/>
    <w:rsid w:val="00CF6B85"/>
    <w:rsid w:val="00D3178B"/>
    <w:rsid w:val="00DD4DE5"/>
    <w:rsid w:val="00E30F59"/>
    <w:rsid w:val="00E625FC"/>
    <w:rsid w:val="00EC5C6C"/>
    <w:rsid w:val="00FB46E5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D2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rsid w:val="009D4D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sid w:val="009D4D25"/>
    <w:rPr>
      <w:sz w:val="24"/>
      <w:szCs w:val="24"/>
      <w:lang w:eastAsia="en-US"/>
    </w:rPr>
  </w:style>
  <w:style w:type="paragraph" w:styleId="Fuzeile">
    <w:name w:val="footer"/>
    <w:basedOn w:val="Standard"/>
    <w:unhideWhenUsed/>
    <w:rsid w:val="009D4D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semiHidden/>
    <w:rsid w:val="009D4D25"/>
    <w:rPr>
      <w:sz w:val="24"/>
      <w:szCs w:val="24"/>
      <w:lang w:eastAsia="en-US"/>
    </w:rPr>
  </w:style>
  <w:style w:type="paragraph" w:styleId="Sprechblasentext">
    <w:name w:val="Balloon Text"/>
    <w:basedOn w:val="Standard"/>
    <w:semiHidden/>
    <w:unhideWhenUsed/>
    <w:rsid w:val="009D4D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9D4D25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Standard"/>
    <w:semiHidden/>
    <w:rsid w:val="009D4D25"/>
    <w:pPr>
      <w:ind w:left="425" w:right="2268"/>
    </w:pPr>
    <w:rPr>
      <w:rFonts w:ascii="Univers" w:hAnsi="Univers" w:cs="Univers"/>
      <w:sz w:val="24"/>
      <w:szCs w:val="24"/>
    </w:rPr>
  </w:style>
  <w:style w:type="paragraph" w:customStyle="1" w:styleId="Blocksatz">
    <w:name w:val="Blocksatz"/>
    <w:basedOn w:val="Standard"/>
    <w:rsid w:val="009D4D25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customStyle="1" w:styleId="Blocktext1">
    <w:name w:val="Blocktext1"/>
    <w:basedOn w:val="Standard"/>
    <w:rsid w:val="00380ABC"/>
    <w:pPr>
      <w:overflowPunct w:val="0"/>
      <w:autoSpaceDE w:val="0"/>
      <w:autoSpaceDN w:val="0"/>
      <w:adjustRightInd w:val="0"/>
      <w:ind w:left="425" w:right="2268"/>
      <w:textAlignment w:val="baseline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4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472A"/>
    <w:rPr>
      <w:rFonts w:ascii="Courier New" w:hAnsi="Courier New" w:cs="Courier New"/>
    </w:rPr>
  </w:style>
  <w:style w:type="paragraph" w:customStyle="1" w:styleId="Textkrper21">
    <w:name w:val="Textkörper 21"/>
    <w:basedOn w:val="Standard"/>
    <w:rsid w:val="00B27604"/>
    <w:pPr>
      <w:overflowPunct w:val="0"/>
      <w:autoSpaceDE w:val="0"/>
      <w:autoSpaceDN w:val="0"/>
      <w:adjustRightInd w:val="0"/>
      <w:ind w:left="567" w:hanging="567"/>
      <w:textAlignment w:val="baseline"/>
    </w:pPr>
    <w:rPr>
      <w:rFonts w:ascii="Univers" w:hAnsi="Unive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5770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GEZE GmbH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GEZE Mitarbeiter</dc:creator>
  <cp:keywords/>
  <dc:description/>
  <cp:lastModifiedBy>Quartz, Nadja</cp:lastModifiedBy>
  <cp:revision>11</cp:revision>
  <dcterms:created xsi:type="dcterms:W3CDTF">2013-01-30T10:06:00Z</dcterms:created>
  <dcterms:modified xsi:type="dcterms:W3CDTF">2016-03-15T10:47:00Z</dcterms:modified>
</cp:coreProperties>
</file>